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об изменении адреса Общества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Изменить адрес Общества в пределах места нахождения. Определить новый адрес Общества: __________________________________________ (индекс, населённый пункт, улица, дом, корпус/строение, офис/помещение).</w:t>
      </w:r>
    </w:p>
    <w:p>
      <w:r>
        <w:t xml:space="preserve">2. Основание пользования помещением: договор аренды № ______ от ____________ / гарантийное письмо собственника от ____________ / свидетельство о праве собственности (нужное указать).</w:t>
      </w:r>
    </w:p>
    <w:p>
      <w:r>
        <w:t xml:space="preserve">3. Поручить генеральному директору Общества ____________________________________ подготовить и подать в регистрирующий орган заявление по форме № Р13014 и иные необходимые документы для государственной регистрации изменений.</w:t>
      </w:r>
    </w:p>
    <w:p>
      <w:r>
        <w:t xml:space="preserve"/>
      </w:r>
    </w:p>
    <w:p>
      <w:r>
        <w:t xml:space="preserve">Пункт для случая, когда в уставе указан полный адрес или меняется населённый пункт (при переезде в пределах города с уставом, где указан только город, — удалить):</w:t>
      </w:r>
    </w:p>
    <w:p>
      <w:r>
        <w:t xml:space="preserve">4. Утвердить изменения в устав Общества (устав в новой редакции) в связи с изменением места нахождения / адреса Общества.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Примечания: 1) Если в уставе указан только населённый пункт (например, «г. Санкт-Петербург») и переезд происходит внутри него, устав не меняется — в ЕГРЮЛ вносятся только новые сведения об адресе (п. 2 ст. 54 ГК РФ). 2) При изменении места нахождения (переезд в другой населённый пункт) применяется двухэтапная процедура: сначала уведомление о принятии решения об изменении места нахождения, затем — по истечении 20 дней — регистрация изменений по новому адресу (п. 6 ст. 17 ФЗ № 129-ФЗ). 3) Факт принятия решения по общему правилу подлежит нотариальному удостоверению (п. 3 ст. 67.1 ГК РФ), если уставом или ранее принятым решением единственного участника не предусмотрен иной способ подтверждения. 4) При подаче Р13014 в электронном виде с УКЭП госпошлина не уплачивается.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сверьте формулировку адреса с данными ГАР/ФИАС и положениями устава вашего ООО.</w:t>
      </w:r>
    </w:p>
    <w:sectPr>
      <w:pgSz w:w="11906" w:h="16838"/>
      <w:pgMar w:top="1134" w:right="850" w:bottom="1134" w:left="1701"/>
    </w:sectPr>
  </w:body>
</w:document>
</file>